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3B" w:rsidRPr="00F3013B" w:rsidRDefault="00F3013B" w:rsidP="00463904">
      <w:pPr>
        <w:jc w:val="both"/>
        <w:rPr>
          <w:b/>
          <w:color w:val="7030A0"/>
          <w:sz w:val="48"/>
          <w:szCs w:val="48"/>
          <w:u w:val="single"/>
          <w:lang w:val="el-GR"/>
        </w:rPr>
      </w:pPr>
      <w:r w:rsidRPr="00F3013B">
        <w:rPr>
          <w:b/>
          <w:color w:val="7030A0"/>
          <w:sz w:val="48"/>
          <w:szCs w:val="48"/>
          <w:u w:val="single"/>
          <w:lang w:val="el-GR"/>
        </w:rPr>
        <w:t>Τι μπορούμε να κάνουμε εμείς;</w:t>
      </w:r>
    </w:p>
    <w:p w:rsidR="00F3013B" w:rsidRPr="00F3013B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Μειώστε τα απορρίμματα προτού ακόμη αγοράσετε τα προϊόντα, προτιμώντας αυτά που η συσκευασία τους είναι μικρή και φιλική προς το περιβάλλον.</w:t>
      </w:r>
    </w:p>
    <w:p w:rsidR="00F3013B" w:rsidRPr="00F3013B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Αναζητήστε το λογότυπο της ανακύκλωσης στα προϊόντα που αγοράζετε.</w:t>
      </w:r>
    </w:p>
    <w:p w:rsidR="00F3013B" w:rsidRPr="00F3013B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Αποφεύγετε τις συσκευασίες μιας χρήσης. Προτιμήστε τις επιστρεφόμενες φιάλες και συσκευασίες.</w:t>
      </w:r>
    </w:p>
    <w:p w:rsidR="00F3013B" w:rsidRPr="00F3013B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Επαναχρησιμοποιείστε υλικά αντί να τα πετάτε στα σκουπίδια. Μήπως τα παλιά προϊόντα ή συσκευές σας μπορούν να φανούν χρήσιμα σε κάποιον άλλο συμπολίτη σας;</w:t>
      </w:r>
    </w:p>
    <w:p w:rsidR="00F3013B" w:rsidRPr="00F3013B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Προσέχετε τις συσκευασίες στα προϊόντα που αγοράζετε. Οι γυάλινες συσκευασίες είναι κατά τεκμήριο φιλικότερες προς το περιβάλλον από τις πλαστικές και τις αλουμινένιες συσκευασίες.</w:t>
      </w:r>
    </w:p>
    <w:p w:rsidR="00F3013B" w:rsidRPr="00F3013B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Χρειάζεστε πάντα πλαστικές σακούλες; Προτιμήστε μία πάνινη τσάντα ή μία χάρτινη σακούλα.</w:t>
      </w:r>
    </w:p>
    <w:p w:rsidR="00F3013B" w:rsidRPr="00F3013B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Ανακυκλώστε! Πιέστε το Δήμο σας να ξεκινήσει προγράμματα ανακύκλωσης αν δεν το κάνει ήδη. Η νέα νομοθεσία επιβάλλει την ανακύκλωση όλων των απορριμμάτων (όχι μόνο των συσκευασίων, αλλά και των ηλεκτρικών ηλεκτρονικών συσκευών, των οχημάτων, των ορυκτελαίων, των μπαταριών, των οικοδο</w:t>
      </w:r>
      <w:r>
        <w:rPr>
          <w:sz w:val="32"/>
          <w:szCs w:val="32"/>
          <w:lang w:val="el-GR"/>
        </w:rPr>
        <w:t>μικών αποβλήτων, κ.λπ.)</w:t>
      </w:r>
      <w:r w:rsidRPr="00F3013B">
        <w:rPr>
          <w:sz w:val="32"/>
          <w:szCs w:val="32"/>
          <w:lang w:val="el-GR"/>
        </w:rPr>
        <w:t>.</w:t>
      </w:r>
    </w:p>
    <w:p w:rsidR="00F3013B" w:rsidRPr="00F3013B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Χρησιμοποιήστε επαναχρησιμοποιούμενα δοχεία για την αποθήκευση τροφών στο ψυγείο σας αντί να τις καλύπτετε με αλουμινόχαρτο.</w:t>
      </w:r>
    </w:p>
    <w:p w:rsidR="00F3013B" w:rsidRPr="00F3013B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Χρησιμοποιήστε επαναφορτιζόμενες μπαταρίες.</w:t>
      </w:r>
    </w:p>
    <w:p w:rsidR="0029202D" w:rsidRPr="00463904" w:rsidRDefault="00F3013B" w:rsidP="0046390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F3013B">
        <w:rPr>
          <w:sz w:val="32"/>
          <w:szCs w:val="32"/>
          <w:lang w:val="el-GR"/>
        </w:rPr>
        <w:t>Ανακυκλώστε το λάδι μηχανής του αυτοκινήτου σας. Δώστε το στο συνεργείο και μη το ρίχνετε στην αποχέτευση.</w:t>
      </w:r>
    </w:p>
    <w:p w:rsidR="00463904" w:rsidRDefault="00463904" w:rsidP="00463904">
      <w:pPr>
        <w:pStyle w:val="ListParagraph"/>
        <w:jc w:val="both"/>
        <w:rPr>
          <w:sz w:val="32"/>
          <w:szCs w:val="32"/>
        </w:rPr>
      </w:pPr>
    </w:p>
    <w:p w:rsidR="00463904" w:rsidRPr="00463904" w:rsidRDefault="00463904" w:rsidP="00463904">
      <w:pPr>
        <w:autoSpaceDE w:val="0"/>
        <w:autoSpaceDN w:val="0"/>
        <w:adjustRightInd w:val="0"/>
        <w:spacing w:after="0" w:line="240" w:lineRule="auto"/>
        <w:jc w:val="both"/>
        <w:rPr>
          <w:rFonts w:eastAsia="Verdana-Bold" w:cs="Verdana-Bold"/>
          <w:b/>
          <w:bCs/>
          <w:color w:val="000000"/>
          <w:sz w:val="36"/>
          <w:szCs w:val="36"/>
        </w:rPr>
      </w:pPr>
    </w:p>
    <w:p w:rsidR="00463904" w:rsidRDefault="00463904" w:rsidP="00463904">
      <w:pPr>
        <w:autoSpaceDE w:val="0"/>
        <w:autoSpaceDN w:val="0"/>
        <w:adjustRightInd w:val="0"/>
        <w:spacing w:after="0" w:line="240" w:lineRule="auto"/>
        <w:jc w:val="both"/>
        <w:rPr>
          <w:rFonts w:eastAsia="Verdana-Bold" w:cs="Verdana-Bold"/>
          <w:b/>
          <w:bCs/>
          <w:color w:val="7030A0"/>
          <w:sz w:val="48"/>
          <w:szCs w:val="48"/>
          <w:u w:val="single"/>
          <w:lang w:val="el-GR"/>
        </w:rPr>
      </w:pPr>
      <w:r w:rsidRPr="00463904">
        <w:rPr>
          <w:rFonts w:eastAsia="Verdana-Bold" w:cs="Verdana-Bold"/>
          <w:b/>
          <w:bCs/>
          <w:color w:val="7030A0"/>
          <w:sz w:val="48"/>
          <w:szCs w:val="48"/>
          <w:u w:val="single"/>
          <w:lang w:val="el-GR"/>
        </w:rPr>
        <w:t>Προ</w:t>
      </w:r>
      <w:r>
        <w:rPr>
          <w:rFonts w:eastAsia="Verdana-Bold" w:cs="Verdana-Bold"/>
          <w:b/>
          <w:bCs/>
          <w:color w:val="7030A0"/>
          <w:sz w:val="48"/>
          <w:szCs w:val="48"/>
          <w:u w:val="single"/>
          <w:lang w:val="el-GR"/>
        </w:rPr>
        <w:t>σοχή στην παραπλανητική σήμανση:</w:t>
      </w:r>
    </w:p>
    <w:p w:rsidR="00463904" w:rsidRPr="00463904" w:rsidRDefault="00463904" w:rsidP="00463904">
      <w:pPr>
        <w:autoSpaceDE w:val="0"/>
        <w:autoSpaceDN w:val="0"/>
        <w:adjustRightInd w:val="0"/>
        <w:spacing w:after="0" w:line="240" w:lineRule="auto"/>
        <w:jc w:val="both"/>
        <w:rPr>
          <w:rFonts w:eastAsia="Verdana-Bold" w:cs="Verdana-Bold"/>
          <w:b/>
          <w:bCs/>
          <w:color w:val="7030A0"/>
          <w:sz w:val="48"/>
          <w:szCs w:val="48"/>
          <w:u w:val="single"/>
          <w:lang w:val="el-GR"/>
        </w:rPr>
      </w:pPr>
    </w:p>
    <w:p w:rsidR="00463904" w:rsidRPr="00463904" w:rsidRDefault="00463904" w:rsidP="00463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Verdana-Bold" w:cs="Verdana"/>
          <w:color w:val="000000"/>
          <w:sz w:val="32"/>
          <w:szCs w:val="32"/>
          <w:lang w:val="el-GR"/>
        </w:rPr>
      </w:pPr>
      <w:r w:rsidRPr="00463904">
        <w:rPr>
          <w:rFonts w:eastAsia="Verdana-Bold" w:cs="Verdana"/>
          <w:color w:val="000000"/>
          <w:sz w:val="32"/>
          <w:szCs w:val="32"/>
          <w:lang w:val="el-GR"/>
        </w:rPr>
        <w:t>Τα παρακάτω δύο σήματα αν και μοιάζουν μεταξύ τους, διαφέρουν πολύ στην ουσία τους. Το πρώτο αφορά προϊόντα που προέρχονται από ανακυκλωμένη</w:t>
      </w:r>
      <w:r>
        <w:rPr>
          <w:rFonts w:eastAsia="Verdana-Bold" w:cs="Verdana"/>
          <w:color w:val="000000"/>
          <w:sz w:val="32"/>
          <w:szCs w:val="32"/>
          <w:lang w:val="el-GR"/>
        </w:rPr>
        <w:t xml:space="preserve"> </w:t>
      </w:r>
      <w:r w:rsidRPr="00463904">
        <w:rPr>
          <w:rFonts w:eastAsia="Verdana-Bold" w:cs="Verdana"/>
          <w:color w:val="000000"/>
          <w:sz w:val="32"/>
          <w:szCs w:val="32"/>
          <w:lang w:val="el-GR"/>
        </w:rPr>
        <w:t>πρώτη ύλη, ενώ το δεύτερο διατείνεται απλώς πως το προϊόν είναι</w:t>
      </w:r>
      <w:r>
        <w:rPr>
          <w:rFonts w:eastAsia="Verdana-Bold" w:cs="Verdana"/>
          <w:color w:val="000000"/>
          <w:sz w:val="32"/>
          <w:szCs w:val="32"/>
          <w:lang w:val="el-GR"/>
        </w:rPr>
        <w:t xml:space="preserve"> </w:t>
      </w:r>
      <w:r w:rsidRPr="00463904">
        <w:rPr>
          <w:rFonts w:eastAsia="Verdana-Bold" w:cs="Verdana"/>
          <w:color w:val="000000"/>
          <w:sz w:val="32"/>
          <w:szCs w:val="32"/>
          <w:lang w:val="el-GR"/>
        </w:rPr>
        <w:t>«ανακυκλώσιμο» (πράγμα που σημαίνει πως το προϊόν αυτό χρησιμοποιεί</w:t>
      </w:r>
      <w:r>
        <w:rPr>
          <w:rFonts w:eastAsia="Verdana-Bold" w:cs="Verdana"/>
          <w:color w:val="000000"/>
          <w:sz w:val="32"/>
          <w:szCs w:val="32"/>
          <w:lang w:val="el-GR"/>
        </w:rPr>
        <w:t xml:space="preserve"> </w:t>
      </w:r>
      <w:r w:rsidRPr="00463904">
        <w:rPr>
          <w:rFonts w:eastAsia="Verdana-Bold" w:cs="Verdana"/>
          <w:color w:val="000000"/>
          <w:sz w:val="32"/>
          <w:szCs w:val="32"/>
          <w:lang w:val="el-GR"/>
        </w:rPr>
        <w:t>παρθένες πρώτες ύλες και η μελλοντική ανακύκλωσή του επαφίεται στην καλή</w:t>
      </w:r>
      <w:r>
        <w:rPr>
          <w:rFonts w:eastAsia="Verdana-Bold" w:cs="Verdana"/>
          <w:color w:val="000000"/>
          <w:sz w:val="32"/>
          <w:szCs w:val="32"/>
          <w:lang w:val="el-GR"/>
        </w:rPr>
        <w:t xml:space="preserve"> </w:t>
      </w:r>
      <w:r w:rsidRPr="00463904">
        <w:rPr>
          <w:rFonts w:eastAsia="Verdana-Bold" w:cs="Verdana"/>
          <w:color w:val="000000"/>
          <w:sz w:val="32"/>
          <w:szCs w:val="32"/>
          <w:lang w:val="el-GR"/>
        </w:rPr>
        <w:t>βούληση του καταναλωτή).</w:t>
      </w:r>
    </w:p>
    <w:p w:rsidR="00463904" w:rsidRPr="00463904" w:rsidRDefault="00463904" w:rsidP="00463904">
      <w:pPr>
        <w:jc w:val="both"/>
        <w:rPr>
          <w:color w:val="FF0000"/>
          <w:sz w:val="32"/>
          <w:szCs w:val="32"/>
          <w:lang w:val="el-GR"/>
        </w:rPr>
      </w:pPr>
    </w:p>
    <w:p w:rsidR="00463904" w:rsidRPr="00F3013B" w:rsidRDefault="00463904" w:rsidP="00463904">
      <w:pPr>
        <w:pStyle w:val="ListParagraph"/>
        <w:jc w:val="both"/>
        <w:rPr>
          <w:sz w:val="32"/>
          <w:szCs w:val="32"/>
          <w:lang w:val="el-GR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901700</wp:posOffset>
            </wp:positionV>
            <wp:extent cx="3124200" cy="3762375"/>
            <wp:effectExtent l="19050" t="0" r="0" b="0"/>
            <wp:wrapTight wrapText="bothSides">
              <wp:wrapPolygon edited="0">
                <wp:start x="-132" y="0"/>
                <wp:lineTo x="-132" y="21545"/>
                <wp:lineTo x="21600" y="21545"/>
                <wp:lineTo x="21600" y="0"/>
                <wp:lineTo x="-132" y="0"/>
              </wp:wrapPolygon>
            </wp:wrapTight>
            <wp:docPr id="2" name="Picture 1" descr="C:\Users\User1\Desktop\anakiklwmeno vs anakiklws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nakiklwmeno vs anakiklwsi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3904" w:rsidRPr="00F3013B" w:rsidSect="00292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B8B"/>
      </v:shape>
    </w:pict>
  </w:numPicBullet>
  <w:abstractNum w:abstractNumId="0">
    <w:nsid w:val="259F008B"/>
    <w:multiLevelType w:val="hybridMultilevel"/>
    <w:tmpl w:val="F99C94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13B"/>
    <w:rsid w:val="000955C1"/>
    <w:rsid w:val="0029202D"/>
    <w:rsid w:val="00463904"/>
    <w:rsid w:val="00F3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1494</Characters>
  <Application>Microsoft Office Word</Application>
  <DocSecurity>0</DocSecurity>
  <Lines>12</Lines>
  <Paragraphs>3</Paragraphs>
  <ScaleCrop>false</ScaleCrop>
  <Company>HP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2010-02-02T13:31:00Z</dcterms:created>
  <dcterms:modified xsi:type="dcterms:W3CDTF">2010-02-02T13:44:00Z</dcterms:modified>
</cp:coreProperties>
</file>